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Fahrzeuge des zentralisierten Fuhrparks für 2027 (Leasin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